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9389E">
      <w:pPr>
        <w:spacing w:line="560" w:lineRule="exact"/>
        <w:jc w:val="center"/>
        <w:rPr>
          <w:rFonts w:hint="eastAsia" w:ascii="方正小标宋_GBK" w:hAnsi="方正小标宋_GBK" w:eastAsia="方正小标宋_GBK" w:cs="方正小标宋_GBK"/>
          <w:sz w:val="44"/>
          <w:szCs w:val="44"/>
          <w:lang w:val="en" w:eastAsia="zh-CN"/>
        </w:rPr>
      </w:pPr>
      <w:bookmarkStart w:id="0" w:name="_GoBack"/>
      <w:r>
        <w:rPr>
          <w:rFonts w:hint="eastAsia" w:ascii="方正小标宋_GBK" w:hAnsi="方正小标宋_GBK" w:eastAsia="方正小标宋_GBK" w:cs="方正小标宋_GBK"/>
          <w:sz w:val="44"/>
          <w:szCs w:val="44"/>
          <w:lang w:val="en" w:eastAsia="zh-CN"/>
        </w:rPr>
        <w:t>关于印发《</w:t>
      </w:r>
      <w:r>
        <w:rPr>
          <w:rFonts w:hint="eastAsia" w:ascii="方正小标宋_GBK" w:hAnsi="方正小标宋_GBK" w:eastAsia="方正小标宋_GBK" w:cs="方正小标宋_GBK"/>
          <w:sz w:val="44"/>
          <w:szCs w:val="44"/>
        </w:rPr>
        <w:t>黄山市2024年度内部审计工作要点</w:t>
      </w:r>
      <w:r>
        <w:rPr>
          <w:rFonts w:hint="eastAsia" w:ascii="方正小标宋_GBK" w:hAnsi="方正小标宋_GBK" w:eastAsia="方正小标宋_GBK" w:cs="方正小标宋_GBK"/>
          <w:sz w:val="44"/>
          <w:szCs w:val="44"/>
          <w:lang w:val="en" w:eastAsia="zh-CN"/>
        </w:rPr>
        <w:t>》的通知</w:t>
      </w:r>
    </w:p>
    <w:bookmarkEnd w:id="0"/>
    <w:p w14:paraId="73E2E775">
      <w:pPr>
        <w:spacing w:line="460" w:lineRule="exact"/>
        <w:rPr>
          <w:rFonts w:hint="eastAsia" w:ascii="仿宋_GB2312" w:hAnsi="仿宋_GB2312" w:cs="仿宋_GB2312"/>
          <w:sz w:val="44"/>
          <w:szCs w:val="44"/>
        </w:rPr>
      </w:pPr>
    </w:p>
    <w:p w14:paraId="47C0FD32">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市直各单位、各人民团体，各区县审计局，市局各科室、局属二级机构：</w:t>
      </w:r>
    </w:p>
    <w:p w14:paraId="214BB5CD">
      <w:pPr>
        <w:tabs>
          <w:tab w:val="left" w:pos="7655"/>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现将《黄山市2024年度内部审计工作要点》印发给你们，请结合工作实际，认真贯彻执行。</w:t>
      </w:r>
    </w:p>
    <w:p w14:paraId="334D8337">
      <w:pPr>
        <w:pStyle w:val="4"/>
        <w:spacing w:line="50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p>
    <w:p w14:paraId="73DB2444">
      <w:pPr>
        <w:pStyle w:val="6"/>
        <w:spacing w:line="500" w:lineRule="exact"/>
        <w:ind w:left="0" w:leftChars="0" w:firstLine="0" w:firstLineChars="0"/>
        <w:rPr>
          <w:rFonts w:hint="eastAsia" w:ascii="仿宋_GB2312" w:hAnsi="仿宋_GB2312" w:eastAsia="仿宋_GB2312" w:cs="仿宋_GB2312"/>
          <w:sz w:val="32"/>
          <w:szCs w:val="32"/>
        </w:rPr>
      </w:pPr>
    </w:p>
    <w:p w14:paraId="18BCAB4C">
      <w:pPr>
        <w:pStyle w:val="6"/>
        <w:spacing w:line="460" w:lineRule="exact"/>
        <w:ind w:left="0" w:leftChars="0"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黄山市审计局</w:t>
      </w:r>
    </w:p>
    <w:p w14:paraId="6D6D345A">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2024年4月1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日</w:t>
      </w:r>
    </w:p>
    <w:p w14:paraId="0846EB85">
      <w:pPr>
        <w:spacing w:line="560" w:lineRule="exact"/>
        <w:jc w:val="both"/>
        <w:rPr>
          <w:rFonts w:hint="eastAsia" w:ascii="仿宋_GB2312" w:hAnsi="仿宋_GB2312" w:eastAsia="仿宋_GB2312" w:cs="仿宋_GB2312"/>
          <w:sz w:val="32"/>
          <w:szCs w:val="32"/>
        </w:rPr>
      </w:pPr>
    </w:p>
    <w:p w14:paraId="1BE89582">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黄山市2024年度内部审计工作要点</w:t>
      </w:r>
    </w:p>
    <w:p w14:paraId="7B918490">
      <w:pPr>
        <w:spacing w:line="560" w:lineRule="exact"/>
        <w:ind w:firstLine="640" w:firstLineChars="200"/>
        <w:rPr>
          <w:rFonts w:hint="eastAsia" w:ascii="仿宋_GB2312" w:hAnsi="仿宋_GB2312" w:eastAsia="仿宋_GB2312" w:cs="仿宋_GB2312"/>
          <w:kern w:val="0"/>
          <w:sz w:val="32"/>
          <w:szCs w:val="32"/>
          <w:lang w:bidi="ar"/>
        </w:rPr>
      </w:pPr>
    </w:p>
    <w:p w14:paraId="081BEEAF">
      <w:pPr>
        <w:pStyle w:val="5"/>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全市内部审计工作要坚持以习近平新时代中国特色社会主义思想为指导，全面贯彻党的二十大、二十届二中全会、中央经济工作会议和习近平总书记关于审计工作特别是内部审计的重要讲话指示批示精神，认真落实省委、市委市政府和省委、市委审计委员会会议精神，按照“构建集中统一、全面覆盖、权威高效的审计监督体系”总要求，不断开创内部审计工作新局面，以更高质量内部审计成效服务和保障大黄山世界级休闲度假康养旅游目的地建设。</w:t>
      </w:r>
    </w:p>
    <w:p w14:paraId="6E8E9845">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一、不断提升政治站位。</w:t>
      </w:r>
      <w:r>
        <w:rPr>
          <w:rFonts w:hint="eastAsia" w:ascii="仿宋_GB2312" w:hAnsi="仿宋_GB2312" w:eastAsia="仿宋_GB2312" w:cs="仿宋_GB2312"/>
          <w:kern w:val="2"/>
          <w:sz w:val="32"/>
          <w:szCs w:val="32"/>
          <w:lang w:val="en-US" w:eastAsia="zh-CN" w:bidi="ar-SA"/>
        </w:rPr>
        <w:t>深刻领会审计的政治属性，把讲政治贯穿内部审计工作始终，不断提高政治判断力、政治领悟力、政治执行力，更加自觉从政治大局和战略全局的高度谋划、开展内部审计工作，以内部审计工作的具体实践体现坚定拥护“两个确立”、坚决做到“两个维护”。</w:t>
      </w:r>
    </w:p>
    <w:p w14:paraId="0189DCF1">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二、建立健全领导体系。</w:t>
      </w:r>
      <w:r>
        <w:rPr>
          <w:rFonts w:hint="eastAsia" w:ascii="仿宋_GB2312" w:hAnsi="仿宋_GB2312" w:eastAsia="仿宋_GB2312" w:cs="仿宋_GB2312"/>
          <w:kern w:val="2"/>
          <w:sz w:val="32"/>
          <w:szCs w:val="32"/>
          <w:lang w:val="en-US" w:eastAsia="zh-CN" w:bidi="ar-SA"/>
        </w:rPr>
        <w:t>建立健全党领导内部审计工作的领导体制机制，推动单位党委（党组）、董事会或主要负责人直接领导内部审计工作全覆盖；党政机关事业单位、国有企业、高校成立的审计委员会或内部审计工作领导小组，要切实发挥牵头抓总、统筹协调、整体推进、督促落实作用。</w:t>
      </w:r>
    </w:p>
    <w:p w14:paraId="269B9234">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三、大力开展内部审计监督。</w:t>
      </w:r>
      <w:r>
        <w:rPr>
          <w:rFonts w:hint="eastAsia" w:ascii="仿宋_GB2312" w:hAnsi="仿宋_GB2312" w:eastAsia="仿宋_GB2312" w:cs="仿宋_GB2312"/>
          <w:kern w:val="2"/>
          <w:sz w:val="32"/>
          <w:szCs w:val="32"/>
          <w:lang w:val="en-US" w:eastAsia="zh-CN" w:bidi="ar-SA"/>
        </w:rPr>
        <w:t>立足经济监督定位，围绕“国之大者”“市之要事”开展内部审计，聚焦财政财务收支真实合法效益主责主业，坚持在单位整体工作布局中谋划推进内部审计工作，做到单位党委（党组）的工作重点抓什么，内部审计就审什么，把服务保障单位战略规划推进落实，作为内部审计中心工作。围绕单位内部风险防控开展内部审计，始终把推动防范化解单位重大风险摆在突出位置，不断提高揭示风险隐患的精准性和时效性。围绕深化重点领域改革、国有企业改革深化提升行动实施方案开展内部审计，紧盯与单位发展稳定息息相关的重点领域、重点工作和重要环节，把审计发现的“堵点”转化为推动改革的“切入点”。围绕推进党的自我革命开展内部审计，认真落实和推进内部审计监督与纪检监察、巡视巡察、组织人事等其他监督力量贯通协同，深化内审成果运用，增强监督合力。</w:t>
      </w:r>
    </w:p>
    <w:p w14:paraId="2A356138">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四、完善审计整改责任体系。</w:t>
      </w:r>
      <w:r>
        <w:rPr>
          <w:rFonts w:hint="eastAsia" w:ascii="仿宋_GB2312" w:hAnsi="仿宋_GB2312" w:eastAsia="仿宋_GB2312" w:cs="仿宋_GB2312"/>
          <w:kern w:val="2"/>
          <w:sz w:val="32"/>
          <w:szCs w:val="32"/>
          <w:lang w:val="en-US" w:eastAsia="zh-CN" w:bidi="ar-SA"/>
        </w:rPr>
        <w:t xml:space="preserve">一体推进审计整改“下半篇文章”和揭示问题“上半篇文章”，完善内部审计整改机制，建立健全内部审计整改对账销号、分类整改等制度，坚持“揭示问题与推动解决问题相统一，规范管理与完善制度相结合，内部审计监督与其他监督力量相融合”的工作原则，压实被审计单位的整改主体责任、相关业务职能部门的整改落实责任、内部审计机构的整改监督检查责任。对整改不力、敷衍整改、虚假整改的，要严肃问责。 </w:t>
      </w:r>
    </w:p>
    <w:p w14:paraId="79A74923">
      <w:pPr>
        <w:pStyle w:val="4"/>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五、开展探索研究型内部审计。</w:t>
      </w:r>
      <w:r>
        <w:rPr>
          <w:rFonts w:hint="eastAsia" w:ascii="仿宋_GB2312" w:hAnsi="仿宋_GB2312" w:eastAsia="仿宋_GB2312" w:cs="仿宋_GB2312"/>
          <w:kern w:val="2"/>
          <w:sz w:val="32"/>
          <w:szCs w:val="32"/>
          <w:lang w:val="en-US" w:eastAsia="zh-CN" w:bidi="ar-SA"/>
        </w:rPr>
        <w:t xml:space="preserve">结合实际情况，做实研究型内部审计工作，积极探索建立研究型审计工作机制，强化审前政策法规研究、审中过程研究、审后对策建议研究，坚持把审计发现的具体问题置于经济社会发展大局和单位发展目标方向中审视，从体制机制制度层面分析原因、提出建议，充分发挥内部审计的建设性作用。加强源头管理，认真研究谋划编制年度内部审计项目计划，实现年度计划与中长期规划、国家审计工作部署的有机衔接。根据工作需要，谋划开展国家重大政策落实、本单位战略规划、财政财务收支、固定资产投资、国有资产保值增值、自然资源资产管理、生态环境保护责任、内部控制及风险管理、内管干部经济责任等各类型审计，将单位新业务、新业态及高风险业务等纳入内部审计监督范围，做到应审尽审，消除单位审计监督空白，把握形式与内容的统一，更好发挥研究型内部审计在审计全覆盖中的重要作用。 </w:t>
      </w:r>
    </w:p>
    <w:p w14:paraId="035F5126">
      <w:pPr>
        <w:pStyle w:val="4"/>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六、强化内部审计质量控制。</w:t>
      </w:r>
      <w:r>
        <w:rPr>
          <w:rFonts w:hint="eastAsia" w:ascii="仿宋_GB2312" w:hAnsi="仿宋_GB2312" w:eastAsia="仿宋_GB2312" w:cs="仿宋_GB2312"/>
          <w:kern w:val="2"/>
          <w:sz w:val="32"/>
          <w:szCs w:val="32"/>
          <w:lang w:val="en-US" w:eastAsia="zh-CN" w:bidi="ar-SA"/>
        </w:rPr>
        <w:t>行业主管部门要根据本行业的职责范围和业务特点，出台加强内部审计质量管控的行业规范，建立健全审计业务管理、审计质量控制和绩效考核等内部审计管理制度，细化审计标准和操作流程。各单位要推进全流程审计质量管控，构建审计项目全过程质量控制管理体系，建立责任主体、权限、程序和作用发挥机制，严格落实质量分级负责制；加强对聘请社会审计机构和人员参与内部审计项目的管理，坚决杜绝完全委托社会审计机构开展内管干部经济责任审计；建立健全考核评价机制，加强对制度执行情况的监督检查，促进内部审计人员依照法定的职责、权限和程序，履行内部审计监督权，提升内部审计质量。</w:t>
      </w:r>
    </w:p>
    <w:p w14:paraId="3A84A158">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七、创新内部审计工作方式方法。</w:t>
      </w:r>
      <w:r>
        <w:rPr>
          <w:rFonts w:hint="eastAsia" w:ascii="仿宋_GB2312" w:hAnsi="仿宋_GB2312" w:eastAsia="仿宋_GB2312" w:cs="仿宋_GB2312"/>
          <w:kern w:val="2"/>
          <w:sz w:val="32"/>
          <w:szCs w:val="32"/>
          <w:lang w:val="en-US" w:eastAsia="zh-CN" w:bidi="ar-SA"/>
        </w:rPr>
        <w:t>根据工作需要，加强内部审计信息化建设，推动运用信息技术手段监督政策落实、决策审批和业务运行全过程；逐步健全“数据分析＋现场核查”线上线下有机融合的工作机制，实现内部审计由“平面扫描”向“立体透视”转变，提升数字化审计的组织和管理水平；统一单位内部数据标准，拓宽数据采集渠道，扩展数据采集类型，打造财务数据、业务数据和管理数据“富矿”，夯实内部审计数据基础。</w:t>
      </w:r>
    </w:p>
    <w:p w14:paraId="4FD8EC1A">
      <w:pPr>
        <w:widowControl/>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八、强化内部审计队伍建设。</w:t>
      </w:r>
      <w:r>
        <w:rPr>
          <w:rFonts w:hint="eastAsia" w:ascii="仿宋_GB2312" w:hAnsi="仿宋_GB2312" w:eastAsia="仿宋_GB2312" w:cs="仿宋_GB2312"/>
          <w:kern w:val="2"/>
          <w:sz w:val="32"/>
          <w:szCs w:val="32"/>
          <w:lang w:val="en-US" w:eastAsia="zh-CN" w:bidi="ar-SA"/>
        </w:rPr>
        <w:t>推动内部审计人员的政治建设、作风建设、能力建设，着力打造一支忠诚干净担当的高素质专业化内审干部队伍。构建多层次、多渠道培训体系，审计机关每年开展至少1次线下业务培训，根据实际适时开展线上培训，支持和鼓励内审机构自主开展内部审计教育培训，推荐内部审计人员参与审计机关国家审计项目、有关培训交流等，通过“以审代训”等方式，提高内部审计人员能查能说能写的能力。鼓励支持内部审计人员参加审计师、会计师、造价师等审计相关职称和职业资格考试。推动单位拓宽内审人员交流锻炼渠道，完善精准考核、奖惩分明的激励约束机制，努力实现人尽其才、才尽其用。</w:t>
      </w:r>
    </w:p>
    <w:p w14:paraId="2B8E87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E97BE-6AD0-4BCB-B03B-2CFEAD257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E2AEED-A4CB-4649-BA70-9A589964BF0A}"/>
  </w:font>
  <w:font w:name="仿宋_GB2312">
    <w:panose1 w:val="02010609030101010101"/>
    <w:charset w:val="86"/>
    <w:family w:val="modern"/>
    <w:pitch w:val="default"/>
    <w:sig w:usb0="00000001" w:usb1="080E0000" w:usb2="00000000" w:usb3="00000000" w:csb0="00040000" w:csb1="00000000"/>
    <w:embedRegular r:id="rId3" w:fontKey="{C5A347BF-FE84-47FB-8F5E-F883A7003C43}"/>
  </w:font>
  <w:font w:name="方正小标宋_GBK">
    <w:panose1 w:val="02000000000000000000"/>
    <w:charset w:val="86"/>
    <w:family w:val="auto"/>
    <w:pitch w:val="default"/>
    <w:sig w:usb0="A00002BF" w:usb1="38CF7CFA" w:usb2="00082016" w:usb3="00000000" w:csb0="00040001" w:csb1="00000000"/>
    <w:embedRegular r:id="rId4" w:fontKey="{E693DD29-EBC1-40BA-BC7B-010397D229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36912"/>
    <w:rsid w:val="2153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ind w:right="214"/>
      <w:jc w:val="both"/>
    </w:pPr>
    <w:rPr>
      <w:rFonts w:ascii="仿宋_GB2312" w:hAnsi="Times New Roman" w:eastAsia="仿宋_GB2312" w:cs="Times New Roman"/>
      <w:kern w:val="2"/>
      <w:sz w:val="32"/>
      <w:lang w:val="en-US" w:eastAsia="zh-CN" w:bidi="ar-SA"/>
    </w:rPr>
  </w:style>
  <w:style w:type="paragraph" w:styleId="3">
    <w:name w:val="Body Text Indent"/>
    <w:qFormat/>
    <w:uiPriority w:val="0"/>
    <w:pPr>
      <w:widowControl w:val="0"/>
      <w:ind w:firstLine="630"/>
      <w:jc w:val="both"/>
    </w:pPr>
    <w:rPr>
      <w:rFonts w:ascii="仿宋_GB2312" w:hAnsi="Times New Roman" w:eastAsia="仿宋_GB2312" w:cs="Times New Roman"/>
      <w:kern w:val="2"/>
      <w:sz w:val="32"/>
      <w:lang w:val="en-US" w:eastAsia="zh-CN" w:bidi="ar-SA"/>
    </w:rPr>
  </w:style>
  <w:style w:type="paragraph" w:styleId="4">
    <w:name w:val="footnote text"/>
    <w:next w:val="2"/>
    <w:qFormat/>
    <w:uiPriority w:val="0"/>
    <w:pPr>
      <w:widowControl w:val="0"/>
      <w:snapToGrid w:val="0"/>
      <w:jc w:val="left"/>
    </w:pPr>
    <w:rPr>
      <w:rFonts w:ascii="Calibri" w:hAnsi="Calibri" w:eastAsia="宋体" w:cs="Times New Roman"/>
      <w:kern w:val="0"/>
      <w:sz w:val="18"/>
      <w:szCs w:val="18"/>
      <w:lang w:val="en-US" w:eastAsia="zh-CN" w:bidi="ar-SA"/>
    </w:rPr>
  </w:style>
  <w:style w:type="paragraph" w:styleId="5">
    <w:name w:val="Normal (Web)"/>
    <w:qFormat/>
    <w:uiPriority w:val="0"/>
    <w:pPr>
      <w:widowControl w:val="0"/>
      <w:spacing w:before="100" w:beforeAutospacing="1" w:after="100" w:afterAutospacing="1"/>
      <w:jc w:val="left"/>
    </w:pPr>
    <w:rPr>
      <w:rFonts w:ascii="Calibri" w:hAnsi="Calibri" w:eastAsia="宋体" w:cs="Times New Roman"/>
      <w:kern w:val="0"/>
      <w:sz w:val="24"/>
      <w:szCs w:val="22"/>
      <w:lang w:val="en-US" w:eastAsia="zh-CN" w:bidi="ar-SA"/>
    </w:rPr>
  </w:style>
  <w:style w:type="paragraph" w:styleId="6">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2025-11-03T07:23:00Z</dcterms:created>
  <dc:creator>夜间空气</dc:creator>
  <cp:lastModifiedBy>夜间空气</cp:lastModifiedBy>
  <dcterms:modified xsi:type="dcterms:W3CDTF">2025-11-03T07:23:41Z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4DE068070859444D89081DA3D201DAAC_11</vt:lpwstr>
  </property>
  <property fmtid="{D5CDD505-2E9C-101B-9397-08002B2CF9AE}" pid="4" name="KSOTemplateDocerSaveRecord">
    <vt:lpwstr>eyJoZGlkIjoiZjc5ZDAyZjU2MjQ3NDVlZDBmNTVlYjEzM2FhNWEzNDkiLCJ1c2VySWQiOiIxMzgzMDQ0Mzc0In0=</vt:lpwstr>
  </property>
</Properties>
</file>